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92"/>
        </w:tabs>
        <w:spacing w:line="58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spacing w:line="220" w:lineRule="atLeas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12121"/>
          <w:sz w:val="40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12121"/>
          <w:sz w:val="40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12121"/>
          <w:sz w:val="40"/>
          <w:szCs w:val="32"/>
        </w:rPr>
        <w:t>年高新技术企业认定名单</w:t>
      </w:r>
    </w:p>
    <w:p>
      <w:pPr>
        <w:keepNext w:val="0"/>
        <w:keepLines w:val="0"/>
        <w:pageBreakBefore w:val="0"/>
        <w:widowControl w:val="0"/>
        <w:tabs>
          <w:tab w:val="left" w:pos="2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tbl>
      <w:tblPr>
        <w:tblStyle w:val="2"/>
        <w:tblW w:w="7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6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调查单位名称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山南远宏科技有限公司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昌都龙者高新材料股份有限公司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西藏昌都高争建材股份有限公司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西藏净源科技有限公司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西藏求本生物科技发展有限公司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筑博设计股份有限公司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西藏云在线信息科技有限公司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西藏玖佰玖科技发展有限公司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西藏合众实业有限公司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拉萨安易软件有限公司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西藏启迪信息技术有限公司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西藏科达信息技术有限公司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哇棒移动传媒股份有限公司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西藏万达华波美信息技术有限公司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西藏富沃德电子商务有限公司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西藏宇昊科技有限责任公司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西藏阿云电子商务有限公司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西藏科玛奇信息科技股份有限公司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西藏育宁科技集团有限公司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鲜生活冷链物流有限公司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西藏高争建材股份有限公司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拉萨市设计院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西藏藏建科技股份有限公司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拉萨经济技术开发区美第意户外用品有限公司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西藏广祺实业有限公司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宋体" w:hAnsi="宋体" w:cs="宋体"/>
          <w:b/>
          <w:bCs/>
          <w:color w:val="212121"/>
          <w:sz w:val="4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="宋体" w:hAnsi="宋体" w:cs="宋体"/>
          <w:b/>
          <w:bCs/>
          <w:color w:val="212121"/>
          <w:sz w:val="44"/>
          <w:szCs w:val="36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2492"/>
        </w:tabs>
        <w:spacing w:line="58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90206"/>
    <w:rsid w:val="474E06DB"/>
    <w:rsid w:val="6BB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2021-01-19T09:14:00Z</dcterms:created>
  <dc:creator>Administrator</dc:creator>
  <cp:lastModifiedBy>LU   Lover</cp:lastModifiedBy>
  <dcterms:modified xsi:type="dcterms:W3CDTF">2022-03-11T08:25:42Z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37F98FFC238247A4A3D9D445BB488A13</vt:lpwstr>
  </property>
</Properties>
</file>