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80" w:lineRule="exact"/>
        <w:ind w:left="360" w:firstLine="0" w:firstLineChars="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pStyle w:val="14"/>
        <w:spacing w:line="580" w:lineRule="exact"/>
        <w:ind w:left="360" w:firstLine="0" w:firstLineChars="0"/>
        <w:jc w:val="center"/>
        <w:rPr>
          <w:rFonts w:hint="eastAsia" w:ascii="方正小标宋简体" w:eastAsia="方正小标宋简体"/>
          <w:sz w:val="44"/>
          <w:szCs w:val="44"/>
        </w:rPr>
      </w:pPr>
    </w:p>
    <w:p>
      <w:pPr>
        <w:pStyle w:val="14"/>
        <w:spacing w:line="580" w:lineRule="exact"/>
        <w:ind w:left="360" w:firstLine="0" w:firstLineChars="0"/>
        <w:jc w:val="center"/>
        <w:rPr>
          <w:rFonts w:ascii="方正小标宋简体" w:eastAsia="方正小标宋简体"/>
          <w:sz w:val="44"/>
          <w:szCs w:val="44"/>
        </w:rPr>
      </w:pPr>
      <w:bookmarkStart w:id="1" w:name="_GoBack"/>
      <w:bookmarkEnd w:id="1"/>
      <w:r>
        <w:rPr>
          <w:rFonts w:hint="eastAsia" w:ascii="方正小标宋简体" w:eastAsia="方正小标宋简体"/>
          <w:sz w:val="44"/>
          <w:szCs w:val="44"/>
        </w:rPr>
        <w:t>关于《北京市科技类校外培训预付式消费管理办法（试行）（征求意见稿）》的起草</w:t>
      </w:r>
      <w:r>
        <w:rPr>
          <w:rFonts w:ascii="方正小标宋简体" w:eastAsia="方正小标宋简体"/>
          <w:sz w:val="44"/>
          <w:szCs w:val="44"/>
        </w:rPr>
        <w:t>说明</w:t>
      </w:r>
    </w:p>
    <w:p>
      <w:pPr>
        <w:spacing w:line="580" w:lineRule="exact"/>
        <w:ind w:firstLine="640" w:firstLineChars="200"/>
        <w:rPr>
          <w:rFonts w:ascii="仿宋" w:hAnsi="仿宋" w:eastAsia="仿宋"/>
          <w:sz w:val="32"/>
          <w:szCs w:val="32"/>
        </w:rPr>
      </w:pP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为落实《教育部等十三部门关于规范面向中小学生的非学科类校外培训的意见》《北京市单用途预付卡管理条例》，维护本市科技类校外培训市场秩序，保护科技类校外培训机构和学员的合法权益，市科委、中关村管委会研究起草了《北京市科技类校外培训预付式消费管理办法（试行）（征求意见稿）》（以下简称《办法》）。</w:t>
      </w:r>
    </w:p>
    <w:p>
      <w:pPr>
        <w:snapToGrid/>
        <w:spacing w:line="560" w:lineRule="exact"/>
        <w:ind w:firstLine="640" w:firstLineChars="200"/>
        <w:jc w:val="left"/>
        <w:rPr>
          <w:rFonts w:hint="eastAsia" w:ascii="黑体" w:hAnsi="黑体" w:eastAsia="黑体" w:cs="楷体"/>
          <w:sz w:val="32"/>
          <w:szCs w:val="32"/>
        </w:rPr>
      </w:pPr>
      <w:r>
        <w:rPr>
          <w:rFonts w:hint="eastAsia" w:ascii="黑体" w:hAnsi="黑体" w:eastAsia="黑体" w:cs="楷体"/>
          <w:sz w:val="32"/>
          <w:szCs w:val="32"/>
        </w:rPr>
        <w:t>一、制定背景</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为贯彻落实《关于进一步减轻义务教育阶段学生作业负担和校外培训负担的意见》《北京市关于进一步减轻义务教育阶段学生作业负担和校外培训负担的措施》精神和要求，市领导组织召开了市“双减”专班调度会，研究了科技类校外培训机构监管问题，确定由市科委、中关村管委会作为行业主管部门负责科技类校外培训机构监管。</w:t>
      </w:r>
    </w:p>
    <w:p>
      <w:pPr>
        <w:widowControl/>
        <w:shd w:val="clear" w:color="auto" w:fill="FFFFFF"/>
        <w:snapToGrid w:val="0"/>
        <w:spacing w:line="560" w:lineRule="exact"/>
        <w:ind w:firstLine="480"/>
        <w:jc w:val="left"/>
        <w:rPr>
          <w:rFonts w:ascii="仿宋_GB2312" w:eastAsia="仿宋_GB2312"/>
          <w:sz w:val="32"/>
          <w:szCs w:val="32"/>
        </w:rPr>
      </w:pPr>
      <w:r>
        <w:rPr>
          <w:rFonts w:ascii="仿宋_GB2312" w:eastAsia="仿宋_GB2312"/>
          <w:sz w:val="32"/>
          <w:szCs w:val="32"/>
        </w:rPr>
        <w:t>2022年6月1日</w:t>
      </w:r>
      <w:r>
        <w:rPr>
          <w:rFonts w:hint="eastAsia" w:ascii="仿宋_GB2312" w:eastAsia="仿宋_GB2312"/>
          <w:sz w:val="32"/>
          <w:szCs w:val="32"/>
        </w:rPr>
        <w:t>，新制订的《北京市单用途预付卡管理条例》施行，其中</w:t>
      </w:r>
      <w:r>
        <w:rPr>
          <w:rFonts w:ascii="仿宋_GB2312" w:eastAsia="仿宋_GB2312"/>
          <w:sz w:val="32"/>
          <w:szCs w:val="32"/>
        </w:rPr>
        <w:t>第六条</w:t>
      </w:r>
      <w:r>
        <w:rPr>
          <w:rFonts w:hint="eastAsia" w:ascii="仿宋_GB2312" w:eastAsia="仿宋_GB2312"/>
          <w:sz w:val="32"/>
          <w:szCs w:val="32"/>
        </w:rPr>
        <w:t>明确提出：</w:t>
      </w:r>
      <w:r>
        <w:rPr>
          <w:rFonts w:ascii="仿宋_GB2312" w:eastAsia="仿宋_GB2312"/>
          <w:sz w:val="32"/>
          <w:szCs w:val="32"/>
        </w:rPr>
        <w:t>市市场监督管理部门负责本条例实施的统筹、组织和协调；教育、科技、民政、人力资源和社会保障、城市管理、交通、水务、农业农村、商务、文化和旅游、卫生健康、市场监督管理、体育等行业主管部门按照职责分工，负责本行业、本领域预付卡的监督和管理</w:t>
      </w:r>
      <w:r>
        <w:rPr>
          <w:rFonts w:hint="eastAsia" w:ascii="仿宋_GB2312" w:eastAsia="仿宋_GB2312"/>
          <w:sz w:val="32"/>
          <w:szCs w:val="32"/>
        </w:rPr>
        <w:t>；</w:t>
      </w:r>
      <w:r>
        <w:rPr>
          <w:rFonts w:ascii="仿宋_GB2312" w:eastAsia="仿宋_GB2312"/>
          <w:sz w:val="32"/>
          <w:szCs w:val="32"/>
        </w:rPr>
        <w:t>公安、地方金融监管等部门按照各自职责，做好预付卡监督管理相关工作。</w:t>
      </w:r>
    </w:p>
    <w:p>
      <w:pPr>
        <w:widowControl/>
        <w:shd w:val="clear" w:color="auto" w:fill="FFFFFF"/>
        <w:snapToGrid w:val="0"/>
        <w:spacing w:line="560" w:lineRule="exact"/>
        <w:ind w:firstLine="480"/>
        <w:jc w:val="left"/>
        <w:rPr>
          <w:rFonts w:ascii="仿宋_GB2312" w:eastAsia="仿宋_GB2312"/>
          <w:sz w:val="32"/>
          <w:szCs w:val="32"/>
        </w:rPr>
      </w:pPr>
      <w:r>
        <w:rPr>
          <w:rFonts w:hint="eastAsia" w:ascii="仿宋_GB2312" w:eastAsia="仿宋_GB2312"/>
          <w:sz w:val="32"/>
          <w:szCs w:val="32"/>
        </w:rPr>
        <w:t>2022年12月28日，《教育部等十三部门关于规范面向中小学生的非学科类校外培训的意见》印发，要求各地要区分体育、文化艺术、科技等类别培训机构，明确相应主管部门，并就加强收费管理和强化预收费监管提出了具体要求和措施</w:t>
      </w:r>
      <w:r>
        <w:rPr>
          <w:rFonts w:hint="eastAsia" w:ascii="仿宋_GB2312" w:eastAsia="仿宋_GB2312"/>
          <w:sz w:val="32"/>
          <w:szCs w:val="32"/>
          <w:lang w:eastAsia="zh-CN"/>
        </w:rPr>
        <w:t>。</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依据国家、地方关于校外培训管理方面的法律法规和管理文件，参照教育、</w:t>
      </w:r>
      <w:r>
        <w:rPr>
          <w:rFonts w:ascii="仿宋_GB2312" w:eastAsia="仿宋_GB2312"/>
          <w:sz w:val="32"/>
          <w:szCs w:val="32"/>
        </w:rPr>
        <w:t>文化和旅游、</w:t>
      </w:r>
      <w:r>
        <w:rPr>
          <w:rFonts w:hint="eastAsia" w:ascii="仿宋_GB2312" w:eastAsia="仿宋_GB2312"/>
          <w:sz w:val="32"/>
          <w:szCs w:val="32"/>
        </w:rPr>
        <w:t>体育等部门制定的相关管理办法，市科委、中关村管委会</w:t>
      </w:r>
      <w:r>
        <w:rPr>
          <w:rFonts w:hint="eastAsia" w:ascii="仿宋_GB2312" w:eastAsia="仿宋_GB2312"/>
          <w:sz w:val="32"/>
          <w:szCs w:val="32"/>
          <w:lang w:eastAsia="zh-CN"/>
        </w:rPr>
        <w:t>研究</w:t>
      </w:r>
      <w:r>
        <w:rPr>
          <w:rFonts w:hint="eastAsia" w:ascii="仿宋_GB2312" w:eastAsia="仿宋_GB2312"/>
          <w:sz w:val="32"/>
          <w:szCs w:val="32"/>
        </w:rPr>
        <w:t>制定</w:t>
      </w:r>
      <w:r>
        <w:rPr>
          <w:rFonts w:hint="eastAsia" w:ascii="仿宋_GB2312" w:eastAsia="仿宋_GB2312"/>
          <w:sz w:val="32"/>
          <w:szCs w:val="32"/>
          <w:lang w:eastAsia="zh-CN"/>
        </w:rPr>
        <w:t>了</w:t>
      </w:r>
      <w:r>
        <w:rPr>
          <w:rFonts w:hint="eastAsia" w:ascii="仿宋_GB2312" w:eastAsia="仿宋_GB2312"/>
          <w:sz w:val="32"/>
          <w:szCs w:val="32"/>
        </w:rPr>
        <w:t>本办法。</w:t>
      </w:r>
    </w:p>
    <w:p>
      <w:pPr>
        <w:snapToGrid/>
        <w:spacing w:line="560" w:lineRule="exact"/>
        <w:ind w:firstLine="640" w:firstLineChars="200"/>
        <w:jc w:val="left"/>
        <w:rPr>
          <w:rFonts w:hint="eastAsia" w:ascii="黑体" w:hAnsi="黑体" w:eastAsia="黑体" w:cs="楷体"/>
          <w:sz w:val="32"/>
          <w:szCs w:val="32"/>
        </w:rPr>
      </w:pPr>
      <w:r>
        <w:rPr>
          <w:rFonts w:hint="eastAsia" w:ascii="黑体" w:hAnsi="黑体" w:eastAsia="黑体" w:cs="楷体"/>
          <w:sz w:val="32"/>
          <w:szCs w:val="32"/>
        </w:rPr>
        <w:t>二、制定依据</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办法》主要依据《中华人民共和国教育法》《中华人民共和国民办教育促进法》《中华人民共和国消费者权益保护法》《北京市单用途预付卡管理条例》等法律法规以及《关于进一步减轻义务教育阶段学生作业负担和校外培训负担的意见》《北京市关于进一步减轻义务教育阶段学生作业负担和校外培训负担的措施》《教育部等十三部门关于规范面向中小学生的非学科类校外培训的意见》等国家和本市规范校外培训机构管理文件的有关规定制定。</w:t>
      </w:r>
    </w:p>
    <w:p>
      <w:pPr>
        <w:snapToGrid/>
        <w:spacing w:line="560" w:lineRule="exact"/>
        <w:ind w:firstLine="640" w:firstLineChars="200"/>
        <w:jc w:val="left"/>
        <w:rPr>
          <w:rFonts w:hint="eastAsia" w:ascii="黑体" w:hAnsi="黑体" w:eastAsia="黑体" w:cs="楷体"/>
          <w:sz w:val="32"/>
          <w:szCs w:val="32"/>
        </w:rPr>
      </w:pPr>
      <w:r>
        <w:rPr>
          <w:rFonts w:hint="eastAsia" w:ascii="黑体" w:hAnsi="黑体" w:eastAsia="黑体" w:cs="楷体"/>
          <w:sz w:val="32"/>
          <w:szCs w:val="32"/>
        </w:rPr>
        <w:t>三、起草过程</w:t>
      </w:r>
    </w:p>
    <w:p>
      <w:pPr>
        <w:snapToGrid w:val="0"/>
        <w:spacing w:line="560" w:lineRule="exact"/>
        <w:ind w:firstLine="566" w:firstLineChars="177"/>
        <w:jc w:val="left"/>
        <w:rPr>
          <w:rFonts w:ascii="仿宋_GB2312" w:eastAsia="仿宋_GB2312"/>
          <w:sz w:val="32"/>
          <w:szCs w:val="32"/>
        </w:rPr>
      </w:pPr>
      <w:r>
        <w:rPr>
          <w:rFonts w:ascii="仿宋_GB2312" w:eastAsia="仿宋_GB2312"/>
          <w:sz w:val="32"/>
          <w:szCs w:val="32"/>
        </w:rPr>
        <w:t>2022年4月</w:t>
      </w:r>
      <w:r>
        <w:rPr>
          <w:rFonts w:hint="eastAsia" w:ascii="仿宋_GB2312" w:eastAsia="仿宋_GB2312"/>
          <w:sz w:val="32"/>
          <w:szCs w:val="32"/>
        </w:rPr>
        <w:t>至</w:t>
      </w:r>
      <w:r>
        <w:rPr>
          <w:rFonts w:ascii="仿宋_GB2312" w:eastAsia="仿宋_GB2312"/>
          <w:sz w:val="32"/>
          <w:szCs w:val="32"/>
        </w:rPr>
        <w:t>7</w:t>
      </w:r>
      <w:r>
        <w:rPr>
          <w:rFonts w:hint="eastAsia" w:ascii="仿宋_GB2312" w:eastAsia="仿宋_GB2312"/>
          <w:sz w:val="32"/>
          <w:szCs w:val="32"/>
        </w:rPr>
        <w:t>月期间，收集梳理了国家、地方相关法律法规、政策和管理文件，通过问卷、实地调研和在线访谈等多种形式，了解了科技类培训机构培训收费</w:t>
      </w:r>
      <w:r>
        <w:rPr>
          <w:rFonts w:hint="eastAsia" w:ascii="仿宋_GB2312" w:eastAsia="仿宋_GB2312"/>
          <w:sz w:val="32"/>
          <w:szCs w:val="32"/>
          <w:lang w:eastAsia="zh-CN"/>
        </w:rPr>
        <w:t>有关</w:t>
      </w:r>
      <w:r>
        <w:rPr>
          <w:rFonts w:hint="eastAsia" w:ascii="仿宋_GB2312" w:eastAsia="仿宋_GB2312"/>
          <w:sz w:val="32"/>
          <w:szCs w:val="32"/>
        </w:rPr>
        <w:t>情况，在深入调研基础上，起草了《办法》征求意见初稿。202</w:t>
      </w:r>
      <w:r>
        <w:rPr>
          <w:rFonts w:ascii="仿宋_GB2312" w:eastAsia="仿宋_GB2312"/>
          <w:sz w:val="32"/>
          <w:szCs w:val="32"/>
        </w:rPr>
        <w:t>2</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月以来，</w:t>
      </w:r>
      <w:r>
        <w:rPr>
          <w:rFonts w:hint="eastAsia" w:ascii="仿宋_GB2312" w:eastAsia="仿宋_GB2312"/>
          <w:sz w:val="32"/>
          <w:szCs w:val="32"/>
          <w:lang w:eastAsia="zh-CN"/>
        </w:rPr>
        <w:t>以</w:t>
      </w:r>
      <w:r>
        <w:rPr>
          <w:rFonts w:hint="eastAsia" w:ascii="仿宋_GB2312" w:eastAsia="仿宋_GB2312"/>
          <w:sz w:val="32"/>
          <w:szCs w:val="32"/>
        </w:rPr>
        <w:t>调研、座谈</w:t>
      </w:r>
      <w:r>
        <w:rPr>
          <w:rFonts w:hint="eastAsia" w:ascii="仿宋_GB2312" w:eastAsia="仿宋_GB2312"/>
          <w:sz w:val="32"/>
          <w:szCs w:val="32"/>
          <w:lang w:eastAsia="zh-CN"/>
        </w:rPr>
        <w:t>会</w:t>
      </w:r>
      <w:r>
        <w:rPr>
          <w:rFonts w:hint="eastAsia" w:ascii="仿宋_GB2312" w:eastAsia="仿宋_GB2312"/>
          <w:sz w:val="32"/>
          <w:szCs w:val="32"/>
        </w:rPr>
        <w:t>等形式</w:t>
      </w:r>
      <w:r>
        <w:rPr>
          <w:rFonts w:hint="eastAsia" w:ascii="仿宋_GB2312" w:eastAsia="仿宋_GB2312"/>
          <w:sz w:val="32"/>
          <w:szCs w:val="32"/>
          <w:lang w:eastAsia="zh-CN"/>
        </w:rPr>
        <w:t>多次征求</w:t>
      </w:r>
      <w:r>
        <w:rPr>
          <w:rFonts w:hint="eastAsia" w:ascii="仿宋_GB2312" w:eastAsia="仿宋_GB2312"/>
          <w:sz w:val="32"/>
          <w:szCs w:val="32"/>
        </w:rPr>
        <w:t>相关委办局</w:t>
      </w:r>
      <w:r>
        <w:rPr>
          <w:rFonts w:hint="eastAsia" w:ascii="仿宋_GB2312" w:eastAsia="仿宋_GB2312"/>
          <w:sz w:val="32"/>
          <w:szCs w:val="32"/>
          <w:lang w:eastAsia="zh-CN"/>
        </w:rPr>
        <w:t>、</w:t>
      </w:r>
      <w:r>
        <w:rPr>
          <w:rFonts w:hint="eastAsia" w:ascii="仿宋_GB2312" w:eastAsia="仿宋_GB2312"/>
          <w:sz w:val="32"/>
          <w:szCs w:val="32"/>
        </w:rPr>
        <w:t>各区科委（科信局）</w:t>
      </w:r>
      <w:r>
        <w:rPr>
          <w:rFonts w:hint="eastAsia" w:ascii="仿宋_GB2312" w:eastAsia="仿宋_GB2312"/>
          <w:sz w:val="32"/>
          <w:szCs w:val="32"/>
          <w:lang w:eastAsia="zh-CN"/>
        </w:rPr>
        <w:t>、</w:t>
      </w:r>
      <w:r>
        <w:rPr>
          <w:rFonts w:hint="eastAsia" w:ascii="仿宋_GB2312" w:eastAsia="仿宋_GB2312"/>
          <w:sz w:val="32"/>
          <w:szCs w:val="32"/>
        </w:rPr>
        <w:t>部分银行、科技类培训机构和利害关系人意见</w:t>
      </w:r>
      <w:r>
        <w:rPr>
          <w:rFonts w:hint="eastAsia" w:ascii="仿宋_GB2312" w:eastAsia="仿宋_GB2312"/>
          <w:sz w:val="32"/>
          <w:szCs w:val="32"/>
          <w:lang w:eastAsia="zh-CN"/>
        </w:rPr>
        <w:t>，并两轮</w:t>
      </w:r>
      <w:r>
        <w:rPr>
          <w:rFonts w:hint="eastAsia" w:ascii="仿宋_GB2312" w:eastAsia="仿宋_GB2312"/>
          <w:sz w:val="32"/>
          <w:szCs w:val="32"/>
        </w:rPr>
        <w:t>书面</w:t>
      </w:r>
      <w:r>
        <w:rPr>
          <w:rFonts w:hint="eastAsia" w:ascii="仿宋_GB2312" w:eastAsia="仿宋_GB2312"/>
          <w:sz w:val="32"/>
          <w:szCs w:val="32"/>
          <w:lang w:eastAsia="zh-CN"/>
        </w:rPr>
        <w:t>征求相关委办局</w:t>
      </w:r>
      <w:r>
        <w:rPr>
          <w:rFonts w:hint="eastAsia" w:ascii="仿宋_GB2312" w:eastAsia="仿宋_GB2312"/>
          <w:sz w:val="32"/>
          <w:szCs w:val="32"/>
        </w:rPr>
        <w:t>、</w:t>
      </w:r>
      <w:r>
        <w:rPr>
          <w:rFonts w:hint="eastAsia" w:ascii="仿宋_GB2312" w:eastAsia="仿宋_GB2312"/>
          <w:sz w:val="32"/>
          <w:szCs w:val="32"/>
          <w:lang w:eastAsia="zh-CN"/>
        </w:rPr>
        <w:t>各区科委（科信局）意见</w:t>
      </w:r>
      <w:r>
        <w:rPr>
          <w:rFonts w:hint="eastAsia" w:ascii="仿宋_GB2312" w:eastAsia="仿宋_GB2312"/>
          <w:sz w:val="32"/>
          <w:szCs w:val="32"/>
        </w:rPr>
        <w:t>，</w:t>
      </w:r>
      <w:r>
        <w:rPr>
          <w:rFonts w:hint="eastAsia" w:ascii="仿宋_GB2312" w:eastAsia="仿宋_GB2312"/>
          <w:sz w:val="32"/>
          <w:szCs w:val="32"/>
          <w:lang w:eastAsia="zh-CN"/>
        </w:rPr>
        <w:t>完善形成本办法</w:t>
      </w:r>
      <w:r>
        <w:rPr>
          <w:rFonts w:hint="eastAsia" w:ascii="仿宋_GB2312" w:eastAsia="仿宋_GB2312"/>
          <w:sz w:val="32"/>
          <w:szCs w:val="32"/>
        </w:rPr>
        <w:t>。</w:t>
      </w:r>
    </w:p>
    <w:p>
      <w:pPr>
        <w:snapToGrid/>
        <w:spacing w:line="560" w:lineRule="exact"/>
        <w:ind w:firstLine="640" w:firstLineChars="200"/>
        <w:jc w:val="left"/>
        <w:rPr>
          <w:rFonts w:hint="eastAsia" w:ascii="黑体" w:hAnsi="黑体" w:eastAsia="黑体" w:cs="楷体"/>
          <w:sz w:val="32"/>
          <w:szCs w:val="32"/>
        </w:rPr>
      </w:pPr>
      <w:r>
        <w:rPr>
          <w:rFonts w:hint="eastAsia" w:ascii="黑体" w:hAnsi="黑体" w:eastAsia="黑体" w:cs="楷体"/>
          <w:sz w:val="32"/>
          <w:szCs w:val="32"/>
        </w:rPr>
        <w:t>四、主要内容</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《办法》共计</w:t>
      </w:r>
      <w:r>
        <w:rPr>
          <w:rFonts w:ascii="仿宋_GB2312" w:eastAsia="仿宋_GB2312"/>
          <w:sz w:val="32"/>
          <w:szCs w:val="32"/>
        </w:rPr>
        <w:t>22</w:t>
      </w:r>
      <w:r>
        <w:rPr>
          <w:rFonts w:hint="eastAsia" w:ascii="仿宋_GB2312" w:eastAsia="仿宋_GB2312"/>
          <w:sz w:val="32"/>
          <w:szCs w:val="32"/>
        </w:rPr>
        <w:t>条，主要内容如下：</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（一）明确</w:t>
      </w:r>
      <w:r>
        <w:rPr>
          <w:rFonts w:ascii="仿宋_GB2312" w:eastAsia="仿宋_GB2312"/>
          <w:sz w:val="32"/>
          <w:szCs w:val="32"/>
        </w:rPr>
        <w:t>了</w:t>
      </w:r>
      <w:r>
        <w:rPr>
          <w:rFonts w:hint="eastAsia" w:ascii="仿宋_GB2312" w:eastAsia="仿宋_GB2312"/>
          <w:sz w:val="32"/>
          <w:szCs w:val="32"/>
        </w:rPr>
        <w:t>《办法》适用范围，提出了项目清单目录；明确了预付式消费定义</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（二）明确</w:t>
      </w:r>
      <w:r>
        <w:rPr>
          <w:rFonts w:ascii="仿宋_GB2312" w:eastAsia="仿宋_GB2312"/>
          <w:sz w:val="32"/>
          <w:szCs w:val="32"/>
        </w:rPr>
        <w:t>了</w:t>
      </w:r>
      <w:r>
        <w:rPr>
          <w:rFonts w:hint="eastAsia" w:ascii="仿宋_GB2312" w:eastAsia="仿宋_GB2312"/>
          <w:sz w:val="32"/>
          <w:szCs w:val="32"/>
        </w:rPr>
        <w:t>科技类培训机构备案、服务合同和信息公示的具体要求</w:t>
      </w:r>
      <w:r>
        <w:rPr>
          <w:rFonts w:ascii="仿宋_GB2312" w:eastAsia="仿宋_GB2312"/>
          <w:sz w:val="32"/>
          <w:szCs w:val="32"/>
        </w:rPr>
        <w:t>。</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（三）规定</w:t>
      </w:r>
      <w:r>
        <w:rPr>
          <w:rFonts w:ascii="仿宋_GB2312" w:eastAsia="仿宋_GB2312"/>
          <w:sz w:val="32"/>
          <w:szCs w:val="32"/>
        </w:rPr>
        <w:t>了</w:t>
      </w:r>
      <w:r>
        <w:rPr>
          <w:rFonts w:hint="eastAsia" w:ascii="仿宋_GB2312" w:eastAsia="仿宋_GB2312"/>
          <w:sz w:val="32"/>
          <w:szCs w:val="32"/>
        </w:rPr>
        <w:t>培训收退费办法、退费纠纷处理办法，明确了培训费使用和查询的具体要求。</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（四）规定实行预付资金全额监管制度，明确了预付资金存管和支取的具体方式。</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（五）明确了预付式消费管理的主管部门和管理职责以及实施监管和处罚的方法与措施。</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（六）明确</w:t>
      </w:r>
      <w:r>
        <w:rPr>
          <w:rFonts w:ascii="仿宋_GB2312" w:eastAsia="仿宋_GB2312"/>
          <w:sz w:val="32"/>
          <w:szCs w:val="32"/>
        </w:rPr>
        <w:t>了</w:t>
      </w:r>
      <w:r>
        <w:rPr>
          <w:rFonts w:hint="eastAsia" w:ascii="仿宋_GB2312" w:eastAsia="仿宋_GB2312"/>
          <w:sz w:val="32"/>
          <w:szCs w:val="32"/>
        </w:rPr>
        <w:t>协同管理部门的监管责任和银行责任。</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（七）明确了预付式消费宣传和保证学员信息安全的具体要求。</w:t>
      </w:r>
    </w:p>
    <w:p>
      <w:pPr>
        <w:snapToGrid w:val="0"/>
        <w:spacing w:line="560" w:lineRule="exact"/>
        <w:ind w:firstLine="566" w:firstLineChars="177"/>
        <w:jc w:val="left"/>
        <w:rPr>
          <w:rFonts w:ascii="仿宋_GB2312" w:eastAsia="仿宋_GB2312"/>
          <w:sz w:val="32"/>
          <w:szCs w:val="32"/>
        </w:rPr>
      </w:pPr>
      <w:r>
        <w:rPr>
          <w:rFonts w:hint="eastAsia" w:ascii="仿宋_GB2312" w:eastAsia="仿宋_GB2312"/>
          <w:sz w:val="32"/>
          <w:szCs w:val="32"/>
        </w:rPr>
        <w:t>（八）明确了面向学龄前儿童（3-6岁）及普通高中生举办科技培训的培训机构参照本办法执行。</w:t>
      </w:r>
    </w:p>
    <w:p>
      <w:pPr>
        <w:snapToGrid w:val="0"/>
        <w:spacing w:line="560" w:lineRule="exact"/>
        <w:ind w:firstLine="566" w:firstLineChars="177"/>
        <w:jc w:val="left"/>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hint="eastAsia" w:ascii="仿宋_GB2312" w:eastAsia="仿宋_GB2312"/>
          <w:sz w:val="32"/>
          <w:szCs w:val="32"/>
        </w:rPr>
        <w:t>明确了本办法实施时间及整改期限。</w:t>
      </w:r>
    </w:p>
    <w:p>
      <w:pPr>
        <w:snapToGrid w:val="0"/>
        <w:spacing w:line="560" w:lineRule="exact"/>
        <w:ind w:firstLine="566" w:firstLineChars="177"/>
        <w:jc w:val="left"/>
        <w:rPr>
          <w:rFonts w:ascii="仿宋_GB2312" w:eastAsia="仿宋_GB2312"/>
          <w:sz w:val="32"/>
          <w:szCs w:val="32"/>
        </w:rPr>
      </w:pPr>
    </w:p>
    <w:p>
      <w:pPr>
        <w:snapToGrid w:val="0"/>
        <w:spacing w:line="560" w:lineRule="exact"/>
        <w:ind w:firstLine="640" w:firstLineChars="200"/>
        <w:rPr>
          <w:rFonts w:ascii="仿宋_GB2312" w:eastAsia="仿宋_GB2312"/>
          <w:sz w:val="32"/>
          <w:szCs w:val="32"/>
        </w:rPr>
      </w:pPr>
      <w:bookmarkStart w:id="0" w:name="_Hlk107488175"/>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3ZWUyZmU0OGMyNWFiZDIyMjA3YThiYWQ3MWM3ODQifQ=="/>
  </w:docVars>
  <w:rsids>
    <w:rsidRoot w:val="008E4493"/>
    <w:rsid w:val="00016F6D"/>
    <w:rsid w:val="000362A7"/>
    <w:rsid w:val="000471AE"/>
    <w:rsid w:val="00050B98"/>
    <w:rsid w:val="0005792E"/>
    <w:rsid w:val="00062764"/>
    <w:rsid w:val="00064D18"/>
    <w:rsid w:val="00066A94"/>
    <w:rsid w:val="0007435B"/>
    <w:rsid w:val="00076F13"/>
    <w:rsid w:val="0009169F"/>
    <w:rsid w:val="000A2B8C"/>
    <w:rsid w:val="000A6471"/>
    <w:rsid w:val="000B1EF0"/>
    <w:rsid w:val="000B31A1"/>
    <w:rsid w:val="000B7753"/>
    <w:rsid w:val="000C5834"/>
    <w:rsid w:val="000C7962"/>
    <w:rsid w:val="000E6226"/>
    <w:rsid w:val="000E7B28"/>
    <w:rsid w:val="000F7547"/>
    <w:rsid w:val="0012398C"/>
    <w:rsid w:val="00132E09"/>
    <w:rsid w:val="00135321"/>
    <w:rsid w:val="001368CA"/>
    <w:rsid w:val="0014750F"/>
    <w:rsid w:val="0015091C"/>
    <w:rsid w:val="00157039"/>
    <w:rsid w:val="001673F6"/>
    <w:rsid w:val="00185A3D"/>
    <w:rsid w:val="001A7C59"/>
    <w:rsid w:val="001C7F1F"/>
    <w:rsid w:val="002043FA"/>
    <w:rsid w:val="002075C3"/>
    <w:rsid w:val="0021707D"/>
    <w:rsid w:val="00236925"/>
    <w:rsid w:val="0025304E"/>
    <w:rsid w:val="002638D8"/>
    <w:rsid w:val="00265964"/>
    <w:rsid w:val="00273A09"/>
    <w:rsid w:val="00280331"/>
    <w:rsid w:val="00290FCC"/>
    <w:rsid w:val="002931FD"/>
    <w:rsid w:val="002A0085"/>
    <w:rsid w:val="002A10F6"/>
    <w:rsid w:val="002A262D"/>
    <w:rsid w:val="002A289D"/>
    <w:rsid w:val="002B24B1"/>
    <w:rsid w:val="002D4FAE"/>
    <w:rsid w:val="002F344E"/>
    <w:rsid w:val="002F351E"/>
    <w:rsid w:val="002F6C10"/>
    <w:rsid w:val="00302EF6"/>
    <w:rsid w:val="003064AC"/>
    <w:rsid w:val="00313605"/>
    <w:rsid w:val="0031598C"/>
    <w:rsid w:val="003369EC"/>
    <w:rsid w:val="00340110"/>
    <w:rsid w:val="00344E6A"/>
    <w:rsid w:val="00362C68"/>
    <w:rsid w:val="0036487E"/>
    <w:rsid w:val="00367B05"/>
    <w:rsid w:val="00376DB5"/>
    <w:rsid w:val="00376E7A"/>
    <w:rsid w:val="003A4282"/>
    <w:rsid w:val="003B5AEC"/>
    <w:rsid w:val="003F1C02"/>
    <w:rsid w:val="003F3B6F"/>
    <w:rsid w:val="003F7740"/>
    <w:rsid w:val="004058E3"/>
    <w:rsid w:val="004111A3"/>
    <w:rsid w:val="00412961"/>
    <w:rsid w:val="0041730E"/>
    <w:rsid w:val="00423E4D"/>
    <w:rsid w:val="0045567E"/>
    <w:rsid w:val="004556C3"/>
    <w:rsid w:val="00457564"/>
    <w:rsid w:val="00472B5E"/>
    <w:rsid w:val="004923BC"/>
    <w:rsid w:val="004A0BE8"/>
    <w:rsid w:val="004A33F4"/>
    <w:rsid w:val="004B7480"/>
    <w:rsid w:val="004C7390"/>
    <w:rsid w:val="004F6FF6"/>
    <w:rsid w:val="004F78F9"/>
    <w:rsid w:val="004F7EBF"/>
    <w:rsid w:val="00513091"/>
    <w:rsid w:val="00520766"/>
    <w:rsid w:val="00521787"/>
    <w:rsid w:val="00522B43"/>
    <w:rsid w:val="00531B6E"/>
    <w:rsid w:val="005328EB"/>
    <w:rsid w:val="00552835"/>
    <w:rsid w:val="00552D1A"/>
    <w:rsid w:val="005612ED"/>
    <w:rsid w:val="00570522"/>
    <w:rsid w:val="005728F9"/>
    <w:rsid w:val="00580121"/>
    <w:rsid w:val="00584C88"/>
    <w:rsid w:val="00586546"/>
    <w:rsid w:val="00586ACE"/>
    <w:rsid w:val="00586B58"/>
    <w:rsid w:val="005A0B89"/>
    <w:rsid w:val="005A7759"/>
    <w:rsid w:val="005B14C1"/>
    <w:rsid w:val="005C0CD5"/>
    <w:rsid w:val="005C16CC"/>
    <w:rsid w:val="005C54D5"/>
    <w:rsid w:val="005C7F54"/>
    <w:rsid w:val="005D0FBC"/>
    <w:rsid w:val="005F28CD"/>
    <w:rsid w:val="005F37DC"/>
    <w:rsid w:val="0062399E"/>
    <w:rsid w:val="00641051"/>
    <w:rsid w:val="00647B48"/>
    <w:rsid w:val="00655246"/>
    <w:rsid w:val="00657040"/>
    <w:rsid w:val="0066068F"/>
    <w:rsid w:val="006716A7"/>
    <w:rsid w:val="00693BB9"/>
    <w:rsid w:val="006A5118"/>
    <w:rsid w:val="006A5C49"/>
    <w:rsid w:val="006A657C"/>
    <w:rsid w:val="006C1F40"/>
    <w:rsid w:val="006C2208"/>
    <w:rsid w:val="006C7A74"/>
    <w:rsid w:val="006E244D"/>
    <w:rsid w:val="006F72BF"/>
    <w:rsid w:val="00701554"/>
    <w:rsid w:val="00704C42"/>
    <w:rsid w:val="00724C94"/>
    <w:rsid w:val="0077286F"/>
    <w:rsid w:val="007760E6"/>
    <w:rsid w:val="0077747E"/>
    <w:rsid w:val="00793CF1"/>
    <w:rsid w:val="007A1FC8"/>
    <w:rsid w:val="007A66E1"/>
    <w:rsid w:val="007B2892"/>
    <w:rsid w:val="007C4D4E"/>
    <w:rsid w:val="007C5C5C"/>
    <w:rsid w:val="007D300A"/>
    <w:rsid w:val="007D3965"/>
    <w:rsid w:val="007E6B4B"/>
    <w:rsid w:val="007F23AD"/>
    <w:rsid w:val="00802173"/>
    <w:rsid w:val="00806BFC"/>
    <w:rsid w:val="00806E74"/>
    <w:rsid w:val="008206BC"/>
    <w:rsid w:val="008223A8"/>
    <w:rsid w:val="00861E68"/>
    <w:rsid w:val="00864D53"/>
    <w:rsid w:val="00871537"/>
    <w:rsid w:val="00874FB5"/>
    <w:rsid w:val="00884F2D"/>
    <w:rsid w:val="00891A2E"/>
    <w:rsid w:val="008A4AB0"/>
    <w:rsid w:val="008B6F29"/>
    <w:rsid w:val="008C3A4C"/>
    <w:rsid w:val="008C73AD"/>
    <w:rsid w:val="008D288C"/>
    <w:rsid w:val="008E14B4"/>
    <w:rsid w:val="008E1831"/>
    <w:rsid w:val="008E269B"/>
    <w:rsid w:val="008E4493"/>
    <w:rsid w:val="008F0DAD"/>
    <w:rsid w:val="00905895"/>
    <w:rsid w:val="00931AB7"/>
    <w:rsid w:val="00944F1F"/>
    <w:rsid w:val="00950608"/>
    <w:rsid w:val="00962381"/>
    <w:rsid w:val="0096563A"/>
    <w:rsid w:val="009658C1"/>
    <w:rsid w:val="009808A8"/>
    <w:rsid w:val="009818F6"/>
    <w:rsid w:val="00991A75"/>
    <w:rsid w:val="00996971"/>
    <w:rsid w:val="00997F8B"/>
    <w:rsid w:val="009A374E"/>
    <w:rsid w:val="009A6B6B"/>
    <w:rsid w:val="009C41E9"/>
    <w:rsid w:val="009C71B7"/>
    <w:rsid w:val="009E4685"/>
    <w:rsid w:val="00A2183B"/>
    <w:rsid w:val="00A24E94"/>
    <w:rsid w:val="00A32FA1"/>
    <w:rsid w:val="00A67003"/>
    <w:rsid w:val="00A70AE9"/>
    <w:rsid w:val="00A71AE3"/>
    <w:rsid w:val="00A72D67"/>
    <w:rsid w:val="00A91E8E"/>
    <w:rsid w:val="00A954E2"/>
    <w:rsid w:val="00AA6836"/>
    <w:rsid w:val="00AB238A"/>
    <w:rsid w:val="00AB33EE"/>
    <w:rsid w:val="00AC6151"/>
    <w:rsid w:val="00AD65F2"/>
    <w:rsid w:val="00AD7C73"/>
    <w:rsid w:val="00AE05D5"/>
    <w:rsid w:val="00AF1A6F"/>
    <w:rsid w:val="00AF6BFA"/>
    <w:rsid w:val="00B04214"/>
    <w:rsid w:val="00B12730"/>
    <w:rsid w:val="00B50620"/>
    <w:rsid w:val="00B57ED4"/>
    <w:rsid w:val="00B61237"/>
    <w:rsid w:val="00B637D3"/>
    <w:rsid w:val="00B71386"/>
    <w:rsid w:val="00BA6481"/>
    <w:rsid w:val="00BB1243"/>
    <w:rsid w:val="00BB40C0"/>
    <w:rsid w:val="00BB47BF"/>
    <w:rsid w:val="00BC26FF"/>
    <w:rsid w:val="00BE65C2"/>
    <w:rsid w:val="00C03515"/>
    <w:rsid w:val="00C0387F"/>
    <w:rsid w:val="00C152FA"/>
    <w:rsid w:val="00C16FB2"/>
    <w:rsid w:val="00C25337"/>
    <w:rsid w:val="00C44C1F"/>
    <w:rsid w:val="00C47A2B"/>
    <w:rsid w:val="00C72196"/>
    <w:rsid w:val="00C7295E"/>
    <w:rsid w:val="00C7748B"/>
    <w:rsid w:val="00C77CF5"/>
    <w:rsid w:val="00C80C9B"/>
    <w:rsid w:val="00C83A81"/>
    <w:rsid w:val="00C90495"/>
    <w:rsid w:val="00CA6031"/>
    <w:rsid w:val="00CB759C"/>
    <w:rsid w:val="00CD3A08"/>
    <w:rsid w:val="00CE07C6"/>
    <w:rsid w:val="00CE2A58"/>
    <w:rsid w:val="00CF190B"/>
    <w:rsid w:val="00CF286C"/>
    <w:rsid w:val="00D1426B"/>
    <w:rsid w:val="00D1608C"/>
    <w:rsid w:val="00D25353"/>
    <w:rsid w:val="00D25638"/>
    <w:rsid w:val="00D36D2E"/>
    <w:rsid w:val="00D55AB7"/>
    <w:rsid w:val="00D65252"/>
    <w:rsid w:val="00D70233"/>
    <w:rsid w:val="00D729DD"/>
    <w:rsid w:val="00DB1D1B"/>
    <w:rsid w:val="00DD3A75"/>
    <w:rsid w:val="00DD4711"/>
    <w:rsid w:val="00E200F4"/>
    <w:rsid w:val="00E21072"/>
    <w:rsid w:val="00E3499A"/>
    <w:rsid w:val="00E43A68"/>
    <w:rsid w:val="00E568AA"/>
    <w:rsid w:val="00E74FEA"/>
    <w:rsid w:val="00E86C3E"/>
    <w:rsid w:val="00E87AC4"/>
    <w:rsid w:val="00E93251"/>
    <w:rsid w:val="00E954B5"/>
    <w:rsid w:val="00EA1F63"/>
    <w:rsid w:val="00EA6279"/>
    <w:rsid w:val="00EB2B4D"/>
    <w:rsid w:val="00EB410A"/>
    <w:rsid w:val="00EB6040"/>
    <w:rsid w:val="00EC4146"/>
    <w:rsid w:val="00EE4B6E"/>
    <w:rsid w:val="00F106C5"/>
    <w:rsid w:val="00F1478B"/>
    <w:rsid w:val="00F31540"/>
    <w:rsid w:val="00F43AF3"/>
    <w:rsid w:val="00F44D5E"/>
    <w:rsid w:val="00F46DF5"/>
    <w:rsid w:val="00F57D84"/>
    <w:rsid w:val="00F81F59"/>
    <w:rsid w:val="00FB6EE1"/>
    <w:rsid w:val="00FC50C1"/>
    <w:rsid w:val="00FC7DFA"/>
    <w:rsid w:val="00FE2CB6"/>
    <w:rsid w:val="00FE3760"/>
    <w:rsid w:val="00FF073A"/>
    <w:rsid w:val="00FF79CE"/>
    <w:rsid w:val="25D79F46"/>
    <w:rsid w:val="3A7FB8CE"/>
    <w:rsid w:val="556FFC22"/>
    <w:rsid w:val="6556623C"/>
    <w:rsid w:val="73FFCF0F"/>
    <w:rsid w:val="DAFC7593"/>
    <w:rsid w:val="EFF73840"/>
    <w:rsid w:val="F127A7B4"/>
    <w:rsid w:val="FCDFD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9"/>
    <w:link w:val="2"/>
    <w:semiHidden/>
    <w:qFormat/>
    <w:uiPriority w:val="99"/>
    <w:rPr>
      <w:kern w:val="2"/>
      <w:sz w:val="21"/>
      <w:szCs w:val="22"/>
    </w:rPr>
  </w:style>
  <w:style w:type="character" w:customStyle="1" w:styleId="16">
    <w:name w:val="批注主题 字符"/>
    <w:basedOn w:val="15"/>
    <w:link w:val="7"/>
    <w:semiHidden/>
    <w:qFormat/>
    <w:uiPriority w:val="99"/>
    <w:rPr>
      <w:b/>
      <w:bCs/>
      <w:kern w:val="2"/>
      <w:sz w:val="21"/>
      <w:szCs w:val="22"/>
    </w:rPr>
  </w:style>
  <w:style w:type="character" w:customStyle="1" w:styleId="17">
    <w:name w:val="批注框文本 字符"/>
    <w:basedOn w:val="9"/>
    <w:link w:val="3"/>
    <w:semiHidden/>
    <w:qFormat/>
    <w:uiPriority w:val="99"/>
    <w:rPr>
      <w:kern w:val="2"/>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1532</Words>
  <Characters>1549</Characters>
  <Lines>11</Lines>
  <Paragraphs>3</Paragraphs>
  <TotalTime>12</TotalTime>
  <ScaleCrop>false</ScaleCrop>
  <LinksUpToDate>false</LinksUpToDate>
  <CharactersWithSpaces>1549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2023-01-12T15:36:00Z</dcterms:created>
  <dc:creator>Baola-Ligp</dc:creator>
  <cp:lastModifiedBy>user</cp:lastModifiedBy>
  <dcterms:modified xsi:type="dcterms:W3CDTF">2023-01-13T11:33:25Z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78EE009386584F9CA936D640D2B6C6C7</vt:lpwstr>
  </property>
</Properties>
</file>