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autoSpaceDN w:val="0"/>
        <w:spacing w:line="7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bidi="ar"/>
        </w:rPr>
        <w:t>附件4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  <w:t>2022年郑州市数字化转型服务商推荐汇总表</w:t>
      </w:r>
      <w:bookmarkEnd w:id="0"/>
    </w:p>
    <w:p>
      <w:pPr>
        <w:autoSpaceDN w:val="0"/>
        <w:jc w:val="left"/>
        <w:rPr>
          <w:rFonts w:eastAsia="方正楷体_GBK"/>
        </w:rPr>
      </w:pPr>
      <w:r>
        <w:rPr>
          <w:rFonts w:eastAsia="方正楷体_GBK"/>
          <w:sz w:val="24"/>
          <w:szCs w:val="24"/>
        </w:rPr>
        <w:t>推荐单位（盖章）：                                                                     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013"/>
        <w:gridCol w:w="2013"/>
        <w:gridCol w:w="2736"/>
        <w:gridCol w:w="198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tblHeader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序号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单位名称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申报方向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  <w:lang w:bidi="ar"/>
              </w:rPr>
              <w:t>应用场景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联系人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301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