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w:t>拟认定湖北省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  <w:lang w:eastAsia="zh-CN"/>
        </w:rPr>
        <w:t>省级大学科技园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0"/>
          <w:szCs w:val="40"/>
        </w:rPr>
        <w:t>名单</w:t>
      </w:r>
    </w:p>
    <w:tbl>
      <w:tblPr>
        <w:tblStyle w:val="2"/>
        <w:tblW w:w="438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238"/>
        <w:gridCol w:w="5991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Header/>
          <w:jc w:val="center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  <w:t>序号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  <w:t>申报名称</w:t>
            </w:r>
          </w:p>
        </w:tc>
        <w:tc>
          <w:tcPr>
            <w:tcW w:w="24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  <w:t>建设主体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b w:val="0"/>
                <w:bCs w:val="0"/>
                <w:sz w:val="28"/>
                <w:szCs w:val="36"/>
                <w:lang w:val="en-US" w:eastAsia="zh-CN"/>
              </w:rPr>
              <w:t>依托高校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襄阳市大学科技园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襄阳市大学科技园发展有限公司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长江大学科技园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长江大学资产经营管理（荆州）有限责任公司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湖北理工学院科技园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湖北理工资产经营管理有限责任公司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湖北民族大学科技园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恩施州硒源科技创业服务中心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湖北汽车工业学院科技园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湖北汽车工业学院资产经营有限公司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湖北汽车工业学院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三峡大学科技园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宜昌求索科技孵化器有限公司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湖北师范大学科技园</w:t>
            </w:r>
          </w:p>
        </w:tc>
        <w:tc>
          <w:tcPr>
            <w:tcW w:w="2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湖北鼎利教育科技有限公司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湖北师范大学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altName w:val="方正黑体_GBK"/>
    <w:panose1 w:val="020B0606030804020204"/>
    <w:charset w:val="00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7C38512C"/>
    <w:rsid w:val="7C3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2022-07-05T09:18:00Z</dcterms:created>
  <dc:creator>橘子汽水1410230322</dc:creator>
  <cp:lastModifiedBy>橘子汽水1410230322</cp:lastModifiedBy>
  <dcterms:modified xsi:type="dcterms:W3CDTF">2022-07-05T09:19:04Z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D3CF96361C4246DBBF0EF3EDC056AACF</vt:lpwstr>
  </property>
</Properties>
</file>