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olor w:val="000000" w:themeColor="text1"/>
          <w:spacing w:val="-8"/>
          <w:sz w:val="44"/>
          <w:szCs w:val="44"/>
          <w14:textFill>
            <w14:solidFill>
              <w14:schemeClr w14:val="tx1"/>
            </w14:solidFill>
          </w14:textFill>
        </w:rPr>
      </w:pPr>
      <w:bookmarkStart w:id="0" w:name="_GoBack"/>
      <w:bookmarkEnd w:id="0"/>
      <w:r>
        <w:rPr>
          <w:rFonts w:hint="eastAsia" w:ascii="方正小标宋_GBK" w:hAnsi="方正小标宋_GBK" w:eastAsia="方正小标宋_GBK"/>
          <w:color w:val="000000" w:themeColor="text1"/>
          <w:spacing w:val="-8"/>
          <w:sz w:val="44"/>
          <w:szCs w:val="44"/>
          <w:lang w:val="en-US" w:eastAsia="zh-CN"/>
          <w14:textFill>
            <w14:solidFill>
              <w14:schemeClr w14:val="tx1"/>
            </w14:solidFill>
          </w14:textFill>
        </w:rPr>
        <w:t>关于</w:t>
      </w:r>
      <w:r>
        <w:rPr>
          <w:rFonts w:hint="eastAsia" w:ascii="方正小标宋_GBK" w:hAnsi="方正小标宋_GBK" w:eastAsia="方正小标宋_GBK"/>
          <w:color w:val="000000" w:themeColor="text1"/>
          <w:spacing w:val="-8"/>
          <w:sz w:val="44"/>
          <w:szCs w:val="44"/>
          <w14:textFill>
            <w14:solidFill>
              <w14:schemeClr w14:val="tx1"/>
            </w14:solidFill>
          </w14:textFill>
        </w:rPr>
        <w:t>2023年南昌市拟立项医疗卫生引导性</w:t>
      </w:r>
    </w:p>
    <w:p>
      <w:pPr>
        <w:spacing w:line="600" w:lineRule="exact"/>
        <w:jc w:val="center"/>
        <w:rPr>
          <w:rFonts w:ascii="方正小标宋_GBK" w:hAnsi="方正小标宋_GBK" w:eastAsia="方正小标宋_GBK"/>
          <w:color w:val="000000" w:themeColor="text1"/>
          <w:spacing w:val="-8"/>
          <w:sz w:val="44"/>
          <w:szCs w:val="44"/>
          <w14:textFill>
            <w14:solidFill>
              <w14:schemeClr w14:val="tx1"/>
            </w14:solidFill>
          </w14:textFill>
        </w:rPr>
      </w:pPr>
      <w:r>
        <w:rPr>
          <w:rFonts w:hint="eastAsia" w:ascii="方正小标宋_GBK" w:hAnsi="方正小标宋_GBK" w:eastAsia="方正小标宋_GBK"/>
          <w:color w:val="000000" w:themeColor="text1"/>
          <w:spacing w:val="-8"/>
          <w:sz w:val="44"/>
          <w:szCs w:val="44"/>
          <w14:textFill>
            <w14:solidFill>
              <w14:schemeClr w14:val="tx1"/>
            </w14:solidFill>
          </w14:textFill>
        </w:rPr>
        <w:t>科技计划项目</w:t>
      </w:r>
      <w:r>
        <w:rPr>
          <w:rFonts w:hint="eastAsia" w:ascii="方正小标宋_GBK" w:hAnsi="方正小标宋_GBK" w:eastAsia="方正小标宋_GBK"/>
          <w:color w:val="000000" w:themeColor="text1"/>
          <w:spacing w:val="-8"/>
          <w:sz w:val="44"/>
          <w:szCs w:val="44"/>
          <w:lang w:val="en-US" w:eastAsia="zh-CN"/>
          <w14:textFill>
            <w14:solidFill>
              <w14:schemeClr w14:val="tx1"/>
            </w14:solidFill>
          </w14:textFill>
        </w:rPr>
        <w:t>的</w:t>
      </w:r>
      <w:r>
        <w:rPr>
          <w:rFonts w:hint="eastAsia" w:ascii="方正小标宋_GBK" w:hAnsi="方正小标宋_GBK" w:eastAsia="方正小标宋_GBK"/>
          <w:color w:val="000000" w:themeColor="text1"/>
          <w:spacing w:val="-8"/>
          <w:sz w:val="44"/>
          <w:szCs w:val="44"/>
          <w14:textFill>
            <w14:solidFill>
              <w14:schemeClr w14:val="tx1"/>
            </w14:solidFill>
          </w14:textFill>
        </w:rPr>
        <w:t>公示</w:t>
      </w:r>
    </w:p>
    <w:p>
      <w:pPr>
        <w:spacing w:line="600" w:lineRule="exact"/>
        <w:ind w:firstLine="622" w:firstLineChars="200"/>
        <w:rPr>
          <w:rFonts w:ascii="仿宋_GB2312" w:hAnsi="华文仿宋" w:eastAsia="仿宋_GB2312"/>
          <w:color w:val="000000" w:themeColor="text1"/>
          <w:sz w:val="32"/>
          <w:szCs w:val="32"/>
          <w14:textFill>
            <w14:solidFill>
              <w14:schemeClr w14:val="tx1"/>
            </w14:solidFill>
          </w14:textFill>
        </w:rPr>
      </w:pPr>
    </w:p>
    <w:p>
      <w:pPr>
        <w:spacing w:line="600" w:lineRule="exact"/>
        <w:ind w:firstLine="622"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根据《</w:t>
      </w:r>
      <w:r>
        <w:rPr>
          <w:rFonts w:hint="eastAsia" w:ascii="仿宋_GB2312" w:hAnsi="华文仿宋" w:eastAsia="仿宋_GB2312"/>
          <w:color w:val="000000" w:themeColor="text1"/>
          <w:sz w:val="32"/>
          <w:szCs w:val="32"/>
          <w14:textFill>
            <w14:solidFill>
              <w14:schemeClr w14:val="tx1"/>
            </w14:solidFill>
          </w14:textFill>
        </w:rPr>
        <w:t>南昌市科技计划项目管理办法</w:t>
      </w: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华文仿宋" w:eastAsia="仿宋_GB2312"/>
          <w:color w:val="000000" w:themeColor="text1"/>
          <w:sz w:val="32"/>
          <w:szCs w:val="32"/>
          <w14:textFill>
            <w14:solidFill>
              <w14:schemeClr w14:val="tx1"/>
            </w14:solidFill>
          </w14:textFill>
        </w:rPr>
        <w:t>洪科规字</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华文仿宋" w:eastAsia="仿宋_GB2312"/>
          <w:color w:val="000000" w:themeColor="text1"/>
          <w:sz w:val="32"/>
          <w:szCs w:val="32"/>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华文仿宋" w:eastAsia="仿宋_GB2312"/>
          <w:color w:val="000000" w:themeColor="text1"/>
          <w:sz w:val="32"/>
          <w:szCs w:val="32"/>
          <w14:textFill>
            <w14:solidFill>
              <w14:schemeClr w14:val="tx1"/>
            </w14:solidFill>
          </w14:textFill>
        </w:rPr>
        <w:t>1号）</w:t>
      </w: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有关规定，经形式审查、专家评审、会议研究等程序，现将2023年南昌市拟立项医疗卫生引导性科技计划项目予以公示。公示期限为5个工作日（自2023年</w:t>
      </w:r>
      <w:r>
        <w:rPr>
          <w:rFonts w:hint="eastAsia" w:ascii="仿宋_GB2312" w:hAnsi="华文仿宋" w:eastAsia="仿宋_GB2312"/>
          <w:color w:val="000000" w:themeColor="text1"/>
          <w:sz w:val="32"/>
          <w:szCs w:val="32"/>
          <w14:textFill>
            <w14:solidFill>
              <w14:schemeClr w14:val="tx1"/>
            </w14:solidFill>
          </w14:textFill>
        </w:rPr>
        <w:t>12月2</w:t>
      </w:r>
      <w:r>
        <w:rPr>
          <w:rFonts w:hint="eastAsia" w:ascii="仿宋_GB2312" w:hAnsi="华文仿宋" w:eastAsia="仿宋_GB2312"/>
          <w:color w:val="000000" w:themeColor="text1"/>
          <w:sz w:val="32"/>
          <w:szCs w:val="32"/>
          <w:lang w:val="en-US" w:eastAsia="zh-CN"/>
          <w14:textFill>
            <w14:solidFill>
              <w14:schemeClr w14:val="tx1"/>
            </w14:solidFill>
          </w14:textFill>
        </w:rPr>
        <w:t>1</w:t>
      </w:r>
      <w:r>
        <w:rPr>
          <w:rFonts w:hint="eastAsia" w:ascii="仿宋_GB2312" w:hAnsi="华文仿宋" w:eastAsia="仿宋_GB2312"/>
          <w:color w:val="000000" w:themeColor="text1"/>
          <w:sz w:val="32"/>
          <w:szCs w:val="32"/>
          <w14:textFill>
            <w14:solidFill>
              <w14:schemeClr w14:val="tx1"/>
            </w14:solidFill>
          </w14:textFill>
        </w:rPr>
        <w:t>日至12月2</w:t>
      </w:r>
      <w:r>
        <w:rPr>
          <w:rFonts w:hint="eastAsia" w:ascii="仿宋_GB2312" w:hAnsi="华文仿宋" w:eastAsia="仿宋_GB2312"/>
          <w:color w:val="000000" w:themeColor="text1"/>
          <w:sz w:val="32"/>
          <w:szCs w:val="32"/>
          <w:lang w:val="en-US" w:eastAsia="zh-CN"/>
          <w14:textFill>
            <w14:solidFill>
              <w14:schemeClr w14:val="tx1"/>
            </w14:solidFill>
          </w14:textFill>
        </w:rPr>
        <w:t>7</w:t>
      </w:r>
      <w:r>
        <w:rPr>
          <w:rFonts w:hint="eastAsia" w:ascii="仿宋_GB2312" w:hAnsi="华文仿宋" w:eastAsia="仿宋_GB2312"/>
          <w:color w:val="000000" w:themeColor="text1"/>
          <w:sz w:val="32"/>
          <w:szCs w:val="32"/>
          <w14:textFill>
            <w14:solidFill>
              <w14:schemeClr w14:val="tx1"/>
            </w14:solidFill>
          </w14:textFill>
        </w:rPr>
        <w:t>日）</w:t>
      </w: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w:t>
      </w:r>
    </w:p>
    <w:p>
      <w:pPr>
        <w:spacing w:line="600" w:lineRule="exact"/>
        <w:ind w:firstLine="622"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任何单位和个人对公示的项目如有异议，请</w:t>
      </w:r>
      <w:r>
        <w:rPr>
          <w:rFonts w:hint="eastAsia" w:ascii="仿宋_GB2312" w:hAnsi="华文仿宋" w:eastAsia="仿宋_GB2312"/>
          <w:color w:val="000000" w:themeColor="text1"/>
          <w:sz w:val="32"/>
          <w:szCs w:val="32"/>
          <w14:textFill>
            <w14:solidFill>
              <w14:schemeClr w14:val="tx1"/>
            </w14:solidFill>
          </w14:textFill>
        </w:rPr>
        <w:t>于公示期内以书面形式向市科技局提出。异议应当签署真实姓名或加盖单位公章,并注明联系方式,否则不予受理。</w:t>
      </w:r>
    </w:p>
    <w:p>
      <w:pPr>
        <w:spacing w:line="600" w:lineRule="exact"/>
        <w:ind w:firstLine="622"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联系电话:</w:t>
      </w:r>
    </w:p>
    <w:p>
      <w:pPr>
        <w:spacing w:line="600" w:lineRule="exact"/>
        <w:ind w:firstLine="622"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南昌市科学技术局直属机关纪委      0791-83884271</w:t>
      </w:r>
    </w:p>
    <w:p>
      <w:pPr>
        <w:spacing w:line="600" w:lineRule="exact"/>
        <w:ind w:firstLine="622"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南昌市科学技术局农村与社会发展科  0791-83884246</w:t>
      </w:r>
    </w:p>
    <w:p>
      <w:pPr>
        <w:spacing w:line="600" w:lineRule="exact"/>
        <w:ind w:firstLine="622" w:firstLineChars="200"/>
        <w:rPr>
          <w:rFonts w:ascii="仿宋_GB2312" w:hAnsi="华文仿宋" w:eastAsia="仿宋_GB2312"/>
          <w:color w:val="000000" w:themeColor="text1"/>
          <w:sz w:val="32"/>
          <w:szCs w:val="32"/>
          <w14:textFill>
            <w14:solidFill>
              <w14:schemeClr w14:val="tx1"/>
            </w14:solidFill>
          </w14:textFill>
        </w:rPr>
      </w:pPr>
    </w:p>
    <w:p>
      <w:pPr>
        <w:spacing w:line="600" w:lineRule="exact"/>
        <w:ind w:firstLine="622" w:firstLineChars="200"/>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附件：2023年南昌市拟立项医疗卫生引导性科技计划项目汇</w:t>
      </w:r>
    </w:p>
    <w:p>
      <w:pPr>
        <w:spacing w:line="600" w:lineRule="exact"/>
        <w:ind w:firstLine="1567" w:firstLineChars="504"/>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总表</w:t>
      </w:r>
    </w:p>
    <w:p>
      <w:pPr>
        <w:spacing w:line="600" w:lineRule="exact"/>
        <w:ind w:firstLine="622" w:firstLineChars="200"/>
        <w:rPr>
          <w:rFonts w:ascii="仿宋_GB2312" w:hAnsi="华文仿宋" w:eastAsia="仿宋_GB2312"/>
          <w:color w:val="000000" w:themeColor="text1"/>
          <w:sz w:val="32"/>
          <w:szCs w:val="32"/>
          <w14:textFill>
            <w14:solidFill>
              <w14:schemeClr w14:val="tx1"/>
            </w14:solidFill>
          </w14:textFill>
        </w:rPr>
      </w:pPr>
    </w:p>
    <w:p>
      <w:pPr>
        <w:spacing w:line="600" w:lineRule="exact"/>
        <w:ind w:firstLine="622" w:firstLineChars="200"/>
        <w:rPr>
          <w:rFonts w:ascii="仿宋_GB2312" w:hAnsi="华文仿宋" w:eastAsia="仿宋_GB2312"/>
          <w:color w:val="000000" w:themeColor="text1"/>
          <w:sz w:val="32"/>
          <w:szCs w:val="32"/>
          <w14:textFill>
            <w14:solidFill>
              <w14:schemeClr w14:val="tx1"/>
            </w14:solidFill>
          </w14:textFill>
        </w:rPr>
      </w:pPr>
    </w:p>
    <w:p>
      <w:pPr>
        <w:spacing w:line="240" w:lineRule="exact"/>
        <w:ind w:firstLine="622" w:firstLineChars="200"/>
        <w:rPr>
          <w:rFonts w:ascii="仿宋_GB2312" w:hAnsi="华文仿宋" w:eastAsia="仿宋_GB2312"/>
          <w:color w:val="000000" w:themeColor="text1"/>
          <w:sz w:val="32"/>
          <w:szCs w:val="32"/>
          <w14:textFill>
            <w14:solidFill>
              <w14:schemeClr w14:val="tx1"/>
            </w14:solidFill>
          </w14:textFill>
        </w:rPr>
      </w:pPr>
    </w:p>
    <w:p>
      <w:pPr>
        <w:spacing w:line="600" w:lineRule="exact"/>
        <w:ind w:firstLine="5244" w:firstLineChars="1686"/>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南昌市科学技术局</w:t>
      </w:r>
    </w:p>
    <w:p>
      <w:pPr>
        <w:tabs>
          <w:tab w:val="left" w:pos="8364"/>
        </w:tabs>
        <w:spacing w:line="600" w:lineRule="exact"/>
        <w:ind w:firstLine="5244" w:firstLineChars="1686"/>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2023年12月20日</w:t>
      </w:r>
    </w:p>
    <w:p>
      <w:pPr>
        <w:widowControl/>
        <w:jc w:val="left"/>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br w:type="page"/>
      </w:r>
    </w:p>
    <w:p>
      <w:pPr>
        <w:widowControl/>
        <w:spacing w:line="560" w:lineRule="exact"/>
        <w:rPr>
          <w:rFonts w:ascii="宋体" w:hAnsi="宋体" w:eastAsia="宋体" w:cs="Times New Roman"/>
          <w:b/>
          <w:color w:val="000000" w:themeColor="text1"/>
          <w:spacing w:val="-8"/>
          <w:sz w:val="36"/>
          <w:szCs w:val="36"/>
          <w14:textFill>
            <w14:solidFill>
              <w14:schemeClr w14:val="tx1"/>
            </w14:solidFill>
          </w14:textFill>
        </w:rPr>
      </w:pPr>
      <w:r>
        <w:rPr>
          <w:rFonts w:hint="eastAsia" w:ascii="宋体" w:hAnsi="宋体" w:eastAsia="宋体" w:cs="宋体"/>
          <w:b/>
          <w:color w:val="000000" w:themeColor="text1"/>
          <w:spacing w:val="-8"/>
          <w:sz w:val="36"/>
          <w:szCs w:val="36"/>
          <w14:textFill>
            <w14:solidFill>
              <w14:schemeClr w14:val="tx1"/>
            </w14:solidFill>
          </w14:textFill>
        </w:rPr>
        <w:t>2023</w:t>
      </w:r>
      <w:r>
        <w:rPr>
          <w:rFonts w:hint="eastAsia" w:ascii="宋体" w:hAnsi="宋体" w:eastAsia="宋体" w:cs="Times New Roman"/>
          <w:b/>
          <w:color w:val="000000" w:themeColor="text1"/>
          <w:spacing w:val="-8"/>
          <w:sz w:val="36"/>
          <w:szCs w:val="36"/>
          <w14:textFill>
            <w14:solidFill>
              <w14:schemeClr w14:val="tx1"/>
            </w14:solidFill>
          </w14:textFill>
        </w:rPr>
        <w:t>年南昌市拟立项医疗卫生引导性科技计划项目汇总表</w:t>
      </w:r>
    </w:p>
    <w:tbl>
      <w:tblPr>
        <w:tblStyle w:val="4"/>
        <w:tblW w:w="9150"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4667"/>
        <w:gridCol w:w="1222"/>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blHeader/>
        </w:trPr>
        <w:tc>
          <w:tcPr>
            <w:tcW w:w="728" w:type="dxa"/>
            <w:shd w:val="clear" w:color="auto" w:fill="auto"/>
            <w:noWrap/>
            <w:vAlign w:val="center"/>
          </w:tcPr>
          <w:p>
            <w:pPr>
              <w:widowControl/>
              <w:textAlignment w:val="center"/>
              <w:rPr>
                <w:rFonts w:ascii="宋体" w:hAnsi="宋体" w:eastAsia="宋体" w:cs="宋体"/>
                <w:b/>
                <w:bCs/>
                <w:color w:val="000000" w:themeColor="text1"/>
                <w:szCs w:val="21"/>
                <w14:textFill>
                  <w14:solidFill>
                    <w14:schemeClr w14:val="tx1"/>
                  </w14:solidFill>
                </w14:textFill>
              </w:rPr>
            </w:pPr>
            <w:r>
              <w:rPr>
                <w:rFonts w:hint="eastAsia"/>
                <w:b/>
                <w:bCs/>
                <w:color w:val="000000"/>
                <w:szCs w:val="21"/>
              </w:rPr>
              <w:t>序号</w:t>
            </w:r>
          </w:p>
        </w:tc>
        <w:tc>
          <w:tcPr>
            <w:tcW w:w="4667" w:type="dxa"/>
            <w:shd w:val="clear" w:color="auto" w:fill="auto"/>
            <w:noWrap/>
            <w:vAlign w:val="center"/>
          </w:tcPr>
          <w:p>
            <w:pPr>
              <w:widowControl/>
              <w:jc w:val="center"/>
              <w:textAlignment w:val="center"/>
              <w:rPr>
                <w:rFonts w:ascii="宋体" w:hAnsi="宋体" w:eastAsia="宋体" w:cs="宋体"/>
                <w:b/>
                <w:bCs/>
                <w:color w:val="000000" w:themeColor="text1"/>
                <w:szCs w:val="21"/>
                <w14:textFill>
                  <w14:solidFill>
                    <w14:schemeClr w14:val="tx1"/>
                  </w14:solidFill>
                </w14:textFill>
              </w:rPr>
            </w:pPr>
            <w:r>
              <w:rPr>
                <w:rFonts w:hint="eastAsia"/>
                <w:b/>
                <w:bCs/>
                <w:color w:val="000000"/>
                <w:szCs w:val="21"/>
              </w:rPr>
              <w:t>项目名称</w:t>
            </w:r>
          </w:p>
        </w:tc>
        <w:tc>
          <w:tcPr>
            <w:tcW w:w="1222" w:type="dxa"/>
            <w:shd w:val="clear" w:color="auto" w:fill="auto"/>
            <w:noWrap/>
            <w:vAlign w:val="center"/>
          </w:tcPr>
          <w:p>
            <w:pPr>
              <w:widowControl/>
              <w:jc w:val="center"/>
              <w:textAlignment w:val="center"/>
              <w:rPr>
                <w:rFonts w:ascii="宋体" w:hAnsi="宋体" w:eastAsia="宋体" w:cs="宋体"/>
                <w:b/>
                <w:bCs/>
                <w:color w:val="000000" w:themeColor="text1"/>
                <w:kern w:val="0"/>
                <w:szCs w:val="21"/>
                <w:lang w:bidi="ar"/>
                <w14:textFill>
                  <w14:solidFill>
                    <w14:schemeClr w14:val="tx1"/>
                  </w14:solidFill>
                </w14:textFill>
              </w:rPr>
            </w:pPr>
            <w:r>
              <w:rPr>
                <w:rFonts w:hint="eastAsia"/>
                <w:b/>
                <w:bCs/>
                <w:color w:val="000000"/>
                <w:szCs w:val="21"/>
              </w:rPr>
              <w:t>项目</w:t>
            </w:r>
          </w:p>
        </w:tc>
        <w:tc>
          <w:tcPr>
            <w:tcW w:w="2533" w:type="dxa"/>
            <w:shd w:val="clear" w:color="auto" w:fill="auto"/>
            <w:noWrap/>
            <w:vAlign w:val="center"/>
          </w:tcPr>
          <w:p>
            <w:pPr>
              <w:widowControl/>
              <w:jc w:val="center"/>
              <w:textAlignment w:val="center"/>
              <w:rPr>
                <w:rFonts w:ascii="宋体" w:hAnsi="宋体" w:eastAsia="宋体" w:cs="宋体"/>
                <w:b/>
                <w:bCs/>
                <w:color w:val="000000" w:themeColor="text1"/>
                <w:szCs w:val="21"/>
                <w14:textFill>
                  <w14:solidFill>
                    <w14:schemeClr w14:val="tx1"/>
                  </w14:solidFill>
                </w14:textFill>
              </w:rPr>
            </w:pPr>
            <w:r>
              <w:rPr>
                <w:rFonts w:hint="eastAsia"/>
                <w:b/>
                <w:bCs/>
                <w:color w:val="000000"/>
                <w:szCs w:val="21"/>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1</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PRSS1通过抑制Hippo/YAP信号通路的激活促进胃癌发生发展的分子机制研究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叶东梅</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2</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运用肺部超声评估急性ST段抬高型心肌梗死PCI术后心衰发生风险的研究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方译</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3</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miR-21调控糖酵解影响糖尿病患者软骨代谢、促进骨关节炎进展的机制研究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丁健</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4</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无托槽隐形矫治器附件磨耗的体外研究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余晶</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5</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“天玑”机器人在股骨头坏死保髋治疗中的应用</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夏剑</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6</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宫颈癌细胞中敲低SLC2A1诱发代谢脆弱性增效顺铂抗癌活性</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王涛</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7</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基于多模式影像分析评价玻璃体切割联合生物羊膜移植治疗难治性黄斑裂孔的临床研究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元芳秀</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8</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CGA对住院老年患者预防跌倒干预中应用效果</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谈英</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8" w:type="dxa"/>
            <w:shd w:val="clear" w:color="auto" w:fill="auto"/>
            <w:noWrap/>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9</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基于5A护理模式对牙列缺失种植修复后的健康评价</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陈艳</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10</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不同运动时间对老年患者肠道准备效果的影响研究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曹婕</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11</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阴茎背深静脉包埋术治疗静脉性ED的疗效观察</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杨应国</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南昌市生殖医院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12</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三种不同保护剂对人类精子超低温冷冻保护效果分析比较及优化升级方案</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熊青</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南昌市生殖医院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13</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刺五加提取物对人类体外精子运动参数影响实验研究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王鹏</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南昌市生殖医院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14</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MII期卵母细胞滑面内质网聚集对辅助生殖中胚胎发育及妊娠结局的影响</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唐香玲</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南昌市生殖医院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15</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卵巢功能早衰相关治疗方案的探索</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李敏</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南昌市生殖医院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16</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基于益肾通络化瘀理论探讨丹蜈二仙汤对糖尿病勃起功能障碍患者IIEF-5评分及总有效率、血液流变学指标的影响</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刘潜</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南昌市生殖医院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17</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基于“肝郁肾虚”理论探讨中药足浴联合情志护理对勃起功能障碍患者的影响</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尚慧敏</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南昌市生殖医院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18</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江西省恙虫病发病的时空特征及其与气候因子的关联研究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杨树</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19</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HIV感染者ART治疗前后血脂代谢情况及相关危险因素分析</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邱丽萍</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20</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基于候鸟迁徙的新发、再发传染病监测预警研究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周义生</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21</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非药物干预（NIPs）措施对南昌市流感流行和流感病例经济负担影响的研究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涂正波</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22</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新型跟骨复位器的设计及在跟骨骨折微创治疗中的应用研究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李  强</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南昌市洪都中医院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23</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自体血纤维蛋白凝块预防前交叉韧带重建术后隧道扩大的临床研究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邹文</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南昌市洪都中医院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24</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盆底磁刺激联合肌筋膜复合手法治疗盆底肌筋膜疼痛综合征临床研究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张莉莉</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南昌市洪都中医院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25</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人迎穴微针刀结合颈夹脊穴治疗交感型颈椎病的临床疗效研究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赵蜜蜜</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南昌市洪都中医院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26</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基于组织修复理论探讨富血小板血浆干预运动疲劳性肌肉损伤临床疗效</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支芳</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南昌市洪都中医院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27</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督脉长蛇灸调节阳虚体质基础代谢、体表温度及经络状态的应用研究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胡秀武</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南昌市洪都中医院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28</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基于红外热成像技术观察长蛇灸对不同督脉热敏阈值阳虚质人群的临床疗效</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耿乐乐</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南昌市洪都中医院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29</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青藤碱定点介入治疗颈源性头痛的临床疗效观察</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康琳玲</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南昌市洪都中医院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30</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火针治疗中重度痤疮的临床疗效观察及对炎症后色素沉着与瘢痕形成的影响</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姚冬梅</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南昌市洪都中医院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31</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脊柱贯通埋线治疗慢性疲劳综合征的临床疗效观察</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王莹</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南昌市洪都中医院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32</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不同胰岛素抵抗替代物对高血压患者动脉粥样硬化及视网膜病变的预测价值比较</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邓贵智</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33</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癫痫小鼠海马星形胶质细胞异常表达的ERRFI1功能研究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舒芯</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34</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聚类算法的优化设计及其在高脂血症基因模块和中药成分挖掘中的应用</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闵捷</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35</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PCSK9抑制剂联合阿托伐他汀对高血压合并2型糖尿病患者颈动脉粥样硬化的影响及其抗炎作用</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刘衍冬</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36</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综合分析骨保护素和甲状腺激素在2型糖尿病肾脏病进展风险中的作用</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乌科侠</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37</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慢性肾脏病患者分级药学管理模式的构建与应用实践</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贾静</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38</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腔镜辅助下乳腺癌保乳术联合肿瘤整形技术乳房修复的临床应用研究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郭春根</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39</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胆道镜下置入改良单J胆道支架在腹腔镜下胆总管切开取石术中的应用</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成时保</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40</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lncRNA SNHG16竞争性结合miR-106b-5p靶向调控BTG3参与胃癌癌前病变的机制研究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邓子清</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41</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非侵入性经皮胫神经刺激在治疗膀胱过度活动综合征中的作用</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丁攀</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42</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紫杉醇联合吡咯替尼治疗晚期her-2阳性乳腺癌临床疗效及安全性分析</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胡尔维</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43</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电生理适宜技术治疗女性盆底功能障碍性疾病的临床疗效研究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刘琳</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44</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AIDET沟通模式对抗肿瘤药物临床试验受试者依从性的影响研究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万敏</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45</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贲门套扎联合食管硬化治疗肝硬化伴贲门食管重度静脉曲张疗效研究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邬芳玉</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南昌市第九医院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46</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HAIC治疗II-III期肝癌早期疗效的预测价值</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杨文娟</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南昌市第九医院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47</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一种预防压疮护理操作仪对高危压疮患者临床应用的研究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喻飞雪</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南昌市第九医院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48</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热敏灸联合中药塌渍干预尿毒症患者自体动静脉内瘘成形术后内瘘成熟的临床应用研究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胡路</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江西省中西医结合医院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49</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南昌地区青少年高尿酸血症的流行病学及其中医体质分布规律调查</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胡晏珍</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江西省中西医结合医院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50</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单侧双通道脊柱内镜（UBE）技术治疗腰椎黄韧带骨化症的临床研究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胡波</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江西省中西医结合医院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51</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热敏灸联合经皮内镜腰椎间盘切除术治疗腰椎间盘突出症的临床研究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汤涛</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江西省中西医结合医院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52</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基于细胞焦亡理论探究加味葛根芩连汤对溃疡性结肠炎（湿热型）的影响及作用机制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封志兵</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江西省中西医结合医院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53</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基于CT双能量能谱分析技术对区域内尿酸结石人群的预防和治疗管理</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沈思瑶</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江西省中西医结合医院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54</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基于原位再生医疗技术探讨黄油膏敷料对筋疽疮疡组织中EGF表达水平的影响</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魏武</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江西省中西医结合医院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55</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皮肤镜及反射式共聚焦显微镜在判断基底细胞癌手术切缘中的应用及比较</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王敏</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江西省皮肤病专科医院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56</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基于PRECEDE模式的健康干预在玫瑰痤疮患者中的应用研究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周丹</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江西省皮肤病专科医院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57</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基于循证护理模式对儿童特应性皮炎患者家属自我管理干预的研究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邓乐英</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江西省皮肤病专科医院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58</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重复经颅磁刺激与脑电图技术相结合用于非自杀性自伤行为的干预研究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陈尚坤</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江西省精神病院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59</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基于Omaha系统的延续护理在社区老年骨质疏松患者中的应用</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章芬</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南昌市卫生健康促进中心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60</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CT影像组学联合临床参数对创伤性脑出血患者有创机械通气时长的预测</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蔡建辉</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61</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热敏灸治疗对髋关节置换术后患肢本体感觉的影响临床研究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李建中</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62</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祛白方联合醋酸泼尼松片治疗进展期白癜风的临床研究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胡丽云</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63</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肺康复疗法联合噻托溴铵粉雾剂对稳定期COPD患者肺功能及运动能力的影响</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艾涛</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进贤县人民医院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64</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BOPPPS教学在基层医院非内分泌科护士糖尿病专科培训中的应用研究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涂美珍</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南昌市新建区人民医院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65</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双向回馈式延续平台在胫腓骨骨折术患者居家康复中的应用效果研究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郑欢欢</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南昌市新建区人民医院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66</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基于UCAD技术的胃癌腹膜转移早期诊断模型研究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石超</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南昌市高新区人民医院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67</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PLAC1在胃癌肝转移中的差异表达及其预测价值</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王志军</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南昌市高新区人民医院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68</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TACE术后序贯联合消融术和（或）局部SBRT放疗综合治疗不可切除肝细胞癌临床研究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方科</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南昌市高新区人民医院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69</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miR-221-3p通过靶向VEGF-C/VEGFR3信号通路调控心脏淋巴管生成在心肌梗死后心力衰竭的作用及机制研究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郑振中</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南昌市高新区人民医院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70</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各种类型上睑睑板前筋膜的组织学分析与解剖构成</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黄征</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南昌市高新区人民医院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71</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B超引导下急性经口中毒患者洗胃的疗效观察</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罗云锦</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南昌市高新区人民医院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72</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联合筋膜鞘(CFS)悬吊术在矫正中、重度上睑下垂中的应用</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朱加贵</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南昌爱尔眼科医院有限公司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73</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强脉冲光联合Lipiflow对睑板腺功能障碍治疗的临床观察</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王长乐</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南昌爱尔眼科医院有限公司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74</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输尿管软镜钬激光碎石术后全身炎症反应综合征风险列线图构建及护理对策分析</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魏小兰</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南昌三三四医院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75</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异常子宫出血与甲状腺功能的相关性研究</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尹张莉</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南昌仁爱妇产医院有限公司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76</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减重对肥胖不孕症患者在体外受精-胚胎移植助孕结局的影响</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张小燕</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南昌康健生殖医院有限公司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77</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基于脑电图和血清神经递质变化探讨无抽搐电休克治疗对精神分裂症患者认知功能的影响分析</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陈招平</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江西省荣军优抚医院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28"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78</w:t>
            </w:r>
          </w:p>
        </w:tc>
        <w:tc>
          <w:tcPr>
            <w:tcW w:w="4667"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膈肌超声指导下的肺康复策略在危重症患者呼吸机撤机中的应用</w:t>
            </w:r>
          </w:p>
        </w:tc>
        <w:tc>
          <w:tcPr>
            <w:tcW w:w="1222" w:type="dxa"/>
            <w:shd w:val="clear" w:color="auto" w:fill="auto"/>
            <w:vAlign w:val="center"/>
          </w:tcPr>
          <w:p>
            <w:pPr>
              <w:widowControl/>
              <w:jc w:val="center"/>
              <w:textAlignment w:val="center"/>
              <w:rPr>
                <w:rFonts w:ascii="宋体" w:hAnsi="宋体" w:eastAsia="宋体" w:cs="宋体"/>
                <w:color w:val="000000" w:themeColor="text1"/>
                <w:kern w:val="0"/>
                <w:szCs w:val="21"/>
                <w:lang w:bidi="ar"/>
                <w14:textFill>
                  <w14:solidFill>
                    <w14:schemeClr w14:val="tx1"/>
                  </w14:solidFill>
                </w14:textFill>
              </w:rPr>
            </w:pPr>
            <w:r>
              <w:rPr>
                <w:rFonts w:hint="eastAsia"/>
                <w:color w:val="000000"/>
                <w:szCs w:val="21"/>
              </w:rPr>
              <w:t>王雄</w:t>
            </w:r>
          </w:p>
        </w:tc>
        <w:tc>
          <w:tcPr>
            <w:tcW w:w="2533" w:type="dxa"/>
            <w:shd w:val="clear" w:color="auto" w:fill="auto"/>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color w:val="000000"/>
                <w:szCs w:val="21"/>
              </w:rPr>
              <w:t>江西嘉佑曙光骨科医院有限公司</w:t>
            </w:r>
          </w:p>
        </w:tc>
      </w:tr>
    </w:tbl>
    <w:p>
      <w:pPr>
        <w:rPr>
          <w:rFonts w:ascii="黑体" w:hAnsi="黑体" w:eastAsia="黑体" w:cs="Times New Roman"/>
          <w:color w:val="000000" w:themeColor="text1"/>
          <w:kern w:val="0"/>
          <w:sz w:val="30"/>
          <w:szCs w:val="24"/>
          <w14:textFill>
            <w14:solidFill>
              <w14:schemeClr w14:val="tx1"/>
            </w14:solidFill>
          </w14:textFill>
        </w:rPr>
      </w:pPr>
    </w:p>
    <w:sectPr>
      <w:footerReference r:id="rId3" w:type="default"/>
      <w:footerReference r:id="rId4" w:type="even"/>
      <w:pgSz w:w="11906" w:h="16838"/>
      <w:pgMar w:top="2098" w:right="1474" w:bottom="1588" w:left="1588" w:header="851" w:footer="992" w:gutter="0"/>
      <w:pgNumType w:fmt="numberInDash"/>
      <w:cols w:space="425" w:num="1"/>
      <w:docGrid w:type="linesAndChars" w:linePitch="30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2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8591385"/>
      <w:docPartObj>
        <w:docPartGallery w:val="autotext"/>
      </w:docPartObj>
    </w:sdtPr>
    <w:sdtEndPr>
      <w:rPr>
        <w:rFonts w:ascii="宋体" w:hAnsi="宋体" w:eastAsia="宋体"/>
        <w:sz w:val="28"/>
        <w:szCs w:val="28"/>
      </w:rPr>
    </w:sdtEndPr>
    <w:sdtContent>
      <w:p>
        <w:pPr>
          <w:pStyle w:val="2"/>
          <w:ind w:right="180" w:firstLine="36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9264113"/>
      <w:docPartObj>
        <w:docPartGallery w:val="autotext"/>
      </w:docPartObj>
    </w:sdtPr>
    <w:sdtEndPr>
      <w:rPr>
        <w:rFonts w:ascii="宋体" w:hAnsi="宋体" w:eastAsia="宋体"/>
        <w:sz w:val="28"/>
        <w:szCs w:val="28"/>
      </w:rPr>
    </w:sdtEndPr>
    <w:sdtContent>
      <w:p>
        <w:pPr>
          <w:pStyle w:val="2"/>
          <w:ind w:right="900" w:firstLine="1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sz w:val="28"/>
            <w:szCs w:val="28"/>
          </w:rPr>
          <w:t>- 1 -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1"/>
  <w:bordersDoNotSurroundHeader w:val="1"/>
  <w:bordersDoNotSurroundFooter w:val="1"/>
  <w:documentProtection w:enforcement="0"/>
  <w:defaultTabStop w:val="420"/>
  <w:evenAndOddHeaders w:val="1"/>
  <w:drawingGridHorizontalSpacing w:val="201"/>
  <w:drawingGridVerticalSpacing w:val="30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2ZjFhNTI5YTA2NDk0MjAyMDc0NmM5OTIzYjQwYzAifQ=="/>
  </w:docVars>
  <w:rsids>
    <w:rsidRoot w:val="004C0784"/>
    <w:rsid w:val="00013E8D"/>
    <w:rsid w:val="001747FB"/>
    <w:rsid w:val="0049493B"/>
    <w:rsid w:val="004C0784"/>
    <w:rsid w:val="004E6F81"/>
    <w:rsid w:val="005C03B4"/>
    <w:rsid w:val="00605411"/>
    <w:rsid w:val="00636C4F"/>
    <w:rsid w:val="00685DE7"/>
    <w:rsid w:val="006D54AE"/>
    <w:rsid w:val="006E10FA"/>
    <w:rsid w:val="00846E4E"/>
    <w:rsid w:val="00851D9C"/>
    <w:rsid w:val="00856B2F"/>
    <w:rsid w:val="00860780"/>
    <w:rsid w:val="008F6A53"/>
    <w:rsid w:val="00B961A2"/>
    <w:rsid w:val="00E90A7C"/>
    <w:rsid w:val="00F04DEB"/>
    <w:rsid w:val="00F93F53"/>
    <w:rsid w:val="00FA7349"/>
    <w:rsid w:val="02E8553F"/>
    <w:rsid w:val="127750CE"/>
    <w:rsid w:val="19AC242B"/>
    <w:rsid w:val="1A27335C"/>
    <w:rsid w:val="266D2F42"/>
    <w:rsid w:val="50F82C70"/>
    <w:rsid w:val="7CFF3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616</Words>
  <Characters>3515</Characters>
  <Lines>29</Lines>
  <Paragraphs>8</Paragraphs>
  <TotalTime>70</TotalTime>
  <ScaleCrop>false</ScaleCrop>
  <LinksUpToDate>false</LinksUpToDate>
  <CharactersWithSpaces>4123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2022-06-15T00:46:00Z</dcterms:created>
  <dc:creator>771937469@qq.com</dc:creator>
  <cp:lastModifiedBy>卓晖</cp:lastModifiedBy>
  <cp:lastPrinted>2023-12-20T07:37:00Z</cp:lastPrinted>
  <dcterms:modified xsi:type="dcterms:W3CDTF">2023-12-21T01:25:41Z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465A8221B6F14901A44477AEF3BF0AF7_12</vt:lpwstr>
  </property>
</Properties>
</file>