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</w:t>
      </w:r>
      <w:r>
        <w:rPr>
          <w:rFonts w:ascii="黑体" w:hAnsi="仿宋_GB2312" w:eastAsia="黑体" w:cs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2021年郑州市铝工业奖补专项资金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绩效目标申报表</w:t>
      </w:r>
      <w:bookmarkEnd w:id="0"/>
    </w:p>
    <w:p>
      <w:pPr>
        <w:pStyle w:val="4"/>
        <w:jc w:val="center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color w:val="auto"/>
          <w:sz w:val="32"/>
          <w:szCs w:val="32"/>
        </w:rPr>
        <w:t>样表202</w:t>
      </w:r>
      <w:r>
        <w:rPr>
          <w:rFonts w:ascii="楷体_GB2312" w:eastAsia="楷体_GB2312"/>
          <w:color w:val="auto"/>
          <w:sz w:val="32"/>
          <w:szCs w:val="32"/>
          <w:lang w:val="en"/>
        </w:rPr>
        <w:t>1</w:t>
      </w:r>
      <w:r>
        <w:rPr>
          <w:rFonts w:hint="eastAsia" w:ascii="楷体_GB2312" w:eastAsia="楷体_GB2312"/>
          <w:color w:val="auto"/>
          <w:sz w:val="32"/>
          <w:szCs w:val="32"/>
        </w:rPr>
        <w:t>年度）</w:t>
      </w:r>
    </w:p>
    <w:p>
      <w:pPr>
        <w:pStyle w:val="4"/>
        <w:ind w:firstLine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auto"/>
          <w:sz w:val="24"/>
        </w:rPr>
        <w:t xml:space="preserve">申报单位名称（盖章）：                         </w:t>
      </w:r>
      <w:r>
        <w:rPr>
          <w:rFonts w:hint="eastAsia" w:ascii="仿宋_GB2312" w:eastAsia="仿宋_GB2312"/>
          <w:sz w:val="24"/>
        </w:rPr>
        <w:t xml:space="preserve">             单位：万元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528"/>
        <w:gridCol w:w="1030"/>
        <w:gridCol w:w="1412"/>
        <w:gridCol w:w="148"/>
        <w:gridCol w:w="1413"/>
        <w:gridCol w:w="775"/>
        <w:gridCol w:w="324"/>
        <w:gridCol w:w="1099"/>
        <w:gridCol w:w="775"/>
        <w:gridCol w:w="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65" w:hRule="exact"/>
          <w:jc w:val="center"/>
        </w:trPr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申报单位名称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主管单位名称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申报单位所在区县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（市）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申报单位基本情况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主要产品名称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申报联系人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主营业务收入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纳税额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97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项目基本情况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支持方向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505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项目实施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起始日期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项目实施结束日期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533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项目总投资额或执行额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申请财政资金金额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118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118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项目实施计划</w:t>
            </w:r>
          </w:p>
        </w:tc>
        <w:tc>
          <w:tcPr>
            <w:tcW w:w="8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645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绩效总体目标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总目标（2022-2024）</w:t>
            </w:r>
          </w:p>
        </w:tc>
        <w:tc>
          <w:tcPr>
            <w:tcW w:w="4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年度目标（2022）（简明扼要、分条表述，从主要二级项目中提炼汇总，体现财政资金的主要使用效益。）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558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指标值（应为年度目标的 2 倍或年均）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可持续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影响指标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服务对象满意度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spacing w:line="340" w:lineRule="exact"/>
        <w:ind w:left="1146" w:leftChars="133" w:hanging="720" w:hanging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注：1.此表由项目申报单位填列。项目类别为特定目标类项目（专项资金）。三级绩效指标根据实际情况填写。</w:t>
      </w:r>
    </w:p>
    <w:p>
      <w:pPr>
        <w:pStyle w:val="4"/>
        <w:spacing w:line="340" w:lineRule="exact"/>
        <w:ind w:firstLine="909" w:firstLineChars="379"/>
        <w:sectPr>
          <w:pgSz w:w="11906" w:h="16838"/>
          <w:pgMar w:top="1440" w:right="1797" w:bottom="1440" w:left="1797" w:header="851" w:footer="1418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.咨询电话：市工信局计财处 0371-67886826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773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Times New Roman" w:hAnsi="Times New Roman" w:eastAsia="黑体" w:cs="Times New Roman"/>
      <w:sz w:val="44"/>
      <w:szCs w:val="24"/>
    </w:rPr>
  </w:style>
  <w:style w:type="paragraph" w:styleId="4">
    <w:name w:val="Body Text First Indent"/>
    <w:basedOn w:val="3"/>
    <w:unhideWhenUsed/>
    <w:uiPriority w:val="99"/>
    <w:pPr>
      <w:spacing w:after="0" w:afterLines="0" w:line="600" w:lineRule="exact"/>
      <w:ind w:firstLine="420"/>
    </w:pPr>
    <w:rPr>
      <w:rFonts w:ascii="Times New Roman" w:hAnsi="Times New Roman" w:eastAsia="宋体" w:cs="Times New Roman"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